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C3EE" w14:textId="77777777" w:rsidR="0021104E" w:rsidRDefault="004B35C4" w:rsidP="0021104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C4">
        <w:rPr>
          <w:rFonts w:ascii="Times New Roman" w:hAnsi="Times New Roman" w:cs="Times New Roman"/>
          <w:b/>
          <w:sz w:val="28"/>
          <w:szCs w:val="28"/>
        </w:rPr>
        <w:t>НОВОЕ В КРИЗИСЕ 202</w:t>
      </w:r>
      <w:r w:rsidR="00611C1F">
        <w:rPr>
          <w:rFonts w:ascii="Times New Roman" w:hAnsi="Times New Roman" w:cs="Times New Roman"/>
          <w:b/>
          <w:sz w:val="28"/>
          <w:szCs w:val="28"/>
        </w:rPr>
        <w:t>0 г. ОТ КОРОНАВИРУСНОЙ ПАНДЕМИИ И</w:t>
      </w:r>
      <w:r w:rsidRPr="004B35C4">
        <w:rPr>
          <w:rFonts w:ascii="Times New Roman" w:hAnsi="Times New Roman" w:cs="Times New Roman"/>
          <w:b/>
          <w:sz w:val="28"/>
          <w:szCs w:val="28"/>
        </w:rPr>
        <w:t xml:space="preserve"> В ВОЗМОЖНОСТЯХ ЕГО ПРЕО</w:t>
      </w:r>
      <w:r w:rsidR="00FF24D7">
        <w:rPr>
          <w:rFonts w:ascii="Times New Roman" w:hAnsi="Times New Roman" w:cs="Times New Roman"/>
          <w:b/>
          <w:sz w:val="28"/>
          <w:szCs w:val="28"/>
        </w:rPr>
        <w:t>Д</w:t>
      </w:r>
      <w:r w:rsidRPr="004B35C4">
        <w:rPr>
          <w:rFonts w:ascii="Times New Roman" w:hAnsi="Times New Roman" w:cs="Times New Roman"/>
          <w:b/>
          <w:sz w:val="28"/>
          <w:szCs w:val="28"/>
        </w:rPr>
        <w:t xml:space="preserve">ОЛЕНИЯ </w:t>
      </w:r>
    </w:p>
    <w:p w14:paraId="16CF66B3" w14:textId="4322539E" w:rsidR="00CB4BD3" w:rsidRPr="004B35C4" w:rsidRDefault="0021104E" w:rsidP="0021104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  <w:r w:rsidR="004B35C4" w:rsidRPr="004B35C4">
        <w:rPr>
          <w:rFonts w:ascii="Times New Roman" w:hAnsi="Times New Roman" w:cs="Times New Roman"/>
          <w:b/>
          <w:sz w:val="28"/>
          <w:szCs w:val="28"/>
        </w:rPr>
        <w:t>В РОССИИ</w:t>
      </w:r>
    </w:p>
    <w:p w14:paraId="2DA38EBC" w14:textId="77777777" w:rsidR="004B35C4" w:rsidRDefault="004B35C4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7947D" w14:textId="77777777" w:rsidR="004B35C4" w:rsidRDefault="004874E6" w:rsidP="00E0372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– прежде всего</w:t>
      </w:r>
      <w:r w:rsidR="002E3AB2">
        <w:rPr>
          <w:rFonts w:ascii="Times New Roman" w:hAnsi="Times New Roman" w:cs="Times New Roman"/>
          <w:sz w:val="28"/>
          <w:szCs w:val="28"/>
        </w:rPr>
        <w:t xml:space="preserve"> </w:t>
      </w:r>
      <w:r w:rsidR="004B35C4">
        <w:rPr>
          <w:rFonts w:ascii="Times New Roman" w:hAnsi="Times New Roman" w:cs="Times New Roman"/>
          <w:sz w:val="28"/>
          <w:szCs w:val="28"/>
        </w:rPr>
        <w:t>более мощная волна коронавирусной пандемии, захлестнувшая Россию с превышением худших пиков по зараженности и смертности, достигнутых в апреле-мае.</w:t>
      </w:r>
    </w:p>
    <w:p w14:paraId="15F88995" w14:textId="77777777" w:rsidR="004B35C4" w:rsidRDefault="004B35C4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безрадостная новость – демографическая катастрофа в этом году из-за ожидаемого роста депопуляции населения более полумиллиона человек и сокращения численности населения страны </w:t>
      </w:r>
      <w:r w:rsidR="00487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400 тыс. человек</w:t>
      </w:r>
      <w:r w:rsidR="004834A9">
        <w:rPr>
          <w:rFonts w:ascii="Times New Roman" w:hAnsi="Times New Roman" w:cs="Times New Roman"/>
          <w:sz w:val="28"/>
          <w:szCs w:val="28"/>
        </w:rPr>
        <w:t xml:space="preserve"> (в первом полугодии 2020 г., по данным Росстата, численность населения сократилась на 265,6 тыс. человек).</w:t>
      </w:r>
      <w:r w:rsidR="00B23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2CA81" w14:textId="7801C0F9" w:rsidR="004B35C4" w:rsidRDefault="004B35C4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особенность – ожидаемое удвоение оттока капитала из страны. Легальный, подтвержденный статистико</w:t>
      </w:r>
      <w:r w:rsidR="0021104E">
        <w:rPr>
          <w:rFonts w:ascii="Times New Roman" w:hAnsi="Times New Roman" w:cs="Times New Roman"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 xml:space="preserve">отток капитала из страны </w:t>
      </w:r>
      <w:r w:rsidR="00B234C3">
        <w:rPr>
          <w:rFonts w:ascii="Times New Roman" w:hAnsi="Times New Roman" w:cs="Times New Roman"/>
          <w:sz w:val="28"/>
          <w:szCs w:val="28"/>
        </w:rPr>
        <w:t xml:space="preserve">за 8 месяцев </w:t>
      </w:r>
      <w:r>
        <w:rPr>
          <w:rFonts w:ascii="Times New Roman" w:hAnsi="Times New Roman" w:cs="Times New Roman"/>
          <w:sz w:val="28"/>
          <w:szCs w:val="28"/>
        </w:rPr>
        <w:t xml:space="preserve">превысил 35 млрд долларов, в то время как за весь 2019 г. этот отток составил менее 24 млрд. </w:t>
      </w:r>
    </w:p>
    <w:p w14:paraId="1DDFAB9B" w14:textId="77777777" w:rsidR="004B35C4" w:rsidRDefault="004B35C4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всего этого: </w:t>
      </w:r>
    </w:p>
    <w:p w14:paraId="28C70CC9" w14:textId="76550F28" w:rsidR="004B35C4" w:rsidRDefault="004B35C4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значительно</w:t>
      </w:r>
      <w:r w:rsidR="00E73A7D">
        <w:rPr>
          <w:rFonts w:ascii="Times New Roman" w:hAnsi="Times New Roman" w:cs="Times New Roman"/>
          <w:sz w:val="28"/>
          <w:szCs w:val="28"/>
        </w:rPr>
        <w:t>, вероятно,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A7D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1,5 раза</w:t>
      </w:r>
      <w:r w:rsidR="00E73A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ухудшатся</w:t>
      </w:r>
      <w:r w:rsidR="00E73A7D">
        <w:rPr>
          <w:rFonts w:ascii="Times New Roman" w:hAnsi="Times New Roman" w:cs="Times New Roman"/>
          <w:sz w:val="28"/>
          <w:szCs w:val="28"/>
        </w:rPr>
        <w:t xml:space="preserve"> ранее оценива</w:t>
      </w:r>
      <w:r w:rsidR="00C722A9">
        <w:rPr>
          <w:rFonts w:ascii="Times New Roman" w:hAnsi="Times New Roman" w:cs="Times New Roman"/>
          <w:sz w:val="28"/>
          <w:szCs w:val="28"/>
        </w:rPr>
        <w:t>е</w:t>
      </w:r>
      <w:r w:rsidR="00E73A7D">
        <w:rPr>
          <w:rFonts w:ascii="Times New Roman" w:hAnsi="Times New Roman" w:cs="Times New Roman"/>
          <w:sz w:val="28"/>
          <w:szCs w:val="28"/>
        </w:rPr>
        <w:t>мые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социально-экономические показатели 2020 г., включая снижение доходов, рост числа безработных, увеличение бедности при сокращении среднего класса, </w:t>
      </w:r>
      <w:r w:rsidR="00C722A9">
        <w:rPr>
          <w:rFonts w:ascii="Times New Roman" w:hAnsi="Times New Roman" w:cs="Times New Roman"/>
          <w:sz w:val="28"/>
          <w:szCs w:val="28"/>
        </w:rPr>
        <w:t>уменьшение доли мелкого и среднего бизнеса,</w:t>
      </w:r>
      <w:r w:rsidR="00800D42">
        <w:rPr>
          <w:rFonts w:ascii="Times New Roman" w:hAnsi="Times New Roman" w:cs="Times New Roman"/>
          <w:sz w:val="28"/>
          <w:szCs w:val="28"/>
        </w:rPr>
        <w:t xml:space="preserve"> рост задолженности и банкротств граждан,</w:t>
      </w:r>
      <w:r w:rsidR="00C7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падение ВВП, промышленности и других отраслей;</w:t>
      </w:r>
    </w:p>
    <w:p w14:paraId="77424CB0" w14:textId="298500B3" w:rsidR="004B35C4" w:rsidRDefault="004B35C4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04E">
        <w:rPr>
          <w:rFonts w:ascii="Times New Roman" w:hAnsi="Times New Roman" w:cs="Times New Roman"/>
          <w:sz w:val="28"/>
          <w:szCs w:val="28"/>
        </w:rPr>
        <w:t xml:space="preserve"> </w:t>
      </w:r>
      <w:r w:rsidR="0082265A">
        <w:rPr>
          <w:rFonts w:ascii="Times New Roman" w:hAnsi="Times New Roman" w:cs="Times New Roman"/>
          <w:sz w:val="28"/>
          <w:szCs w:val="28"/>
        </w:rPr>
        <w:t xml:space="preserve">увеличение продолжительности кризиса </w:t>
      </w:r>
      <w:r w:rsidR="000E4D83">
        <w:rPr>
          <w:rFonts w:ascii="Times New Roman" w:hAnsi="Times New Roman" w:cs="Times New Roman"/>
          <w:sz w:val="28"/>
          <w:szCs w:val="28"/>
        </w:rPr>
        <w:t>не менее чем</w:t>
      </w:r>
      <w:r w:rsidR="0082265A">
        <w:rPr>
          <w:rFonts w:ascii="Times New Roman" w:hAnsi="Times New Roman" w:cs="Times New Roman"/>
          <w:sz w:val="28"/>
          <w:szCs w:val="28"/>
        </w:rPr>
        <w:t xml:space="preserve"> на полгода</w:t>
      </w:r>
      <w:r w:rsidR="000E4D83">
        <w:rPr>
          <w:rFonts w:ascii="Times New Roman" w:hAnsi="Times New Roman" w:cs="Times New Roman"/>
          <w:sz w:val="28"/>
          <w:szCs w:val="28"/>
        </w:rPr>
        <w:t>,</w:t>
      </w:r>
      <w:r w:rsidR="0082265A">
        <w:rPr>
          <w:rFonts w:ascii="Times New Roman" w:hAnsi="Times New Roman" w:cs="Times New Roman"/>
          <w:sz w:val="28"/>
          <w:szCs w:val="28"/>
        </w:rPr>
        <w:t xml:space="preserve"> до середины 2021 г. и, соответственно, </w:t>
      </w:r>
      <w:r w:rsidR="000E4D83">
        <w:rPr>
          <w:rFonts w:ascii="Times New Roman" w:hAnsi="Times New Roman" w:cs="Times New Roman"/>
          <w:sz w:val="28"/>
          <w:szCs w:val="28"/>
        </w:rPr>
        <w:t xml:space="preserve">более длительное время, необходимое для </w:t>
      </w:r>
      <w:r w:rsidR="0082265A">
        <w:rPr>
          <w:rFonts w:ascii="Times New Roman" w:hAnsi="Times New Roman" w:cs="Times New Roman"/>
          <w:sz w:val="28"/>
          <w:szCs w:val="28"/>
        </w:rPr>
        <w:t>восстановления докризисных показателей. С учетом необходимой вакцинации 70 млн человек в дополнении к 30 миллионам, имеющим антитела</w:t>
      </w:r>
      <w:r w:rsidR="000E4D83">
        <w:rPr>
          <w:rFonts w:ascii="Times New Roman" w:hAnsi="Times New Roman" w:cs="Times New Roman"/>
          <w:sz w:val="28"/>
          <w:szCs w:val="28"/>
        </w:rPr>
        <w:t>,</w:t>
      </w:r>
      <w:r w:rsidR="0082265A">
        <w:rPr>
          <w:rFonts w:ascii="Times New Roman" w:hAnsi="Times New Roman" w:cs="Times New Roman"/>
          <w:sz w:val="28"/>
          <w:szCs w:val="28"/>
        </w:rPr>
        <w:t xml:space="preserve"> мы</w:t>
      </w:r>
      <w:r w:rsidR="005365B3">
        <w:rPr>
          <w:rFonts w:ascii="Times New Roman" w:hAnsi="Times New Roman" w:cs="Times New Roman"/>
          <w:sz w:val="28"/>
          <w:szCs w:val="28"/>
        </w:rPr>
        <w:t xml:space="preserve"> вряд ли</w:t>
      </w:r>
      <w:r w:rsidR="0082265A">
        <w:rPr>
          <w:rFonts w:ascii="Times New Roman" w:hAnsi="Times New Roman" w:cs="Times New Roman"/>
          <w:sz w:val="28"/>
          <w:szCs w:val="28"/>
        </w:rPr>
        <w:t xml:space="preserve"> сможем вернуться к прежней жизни </w:t>
      </w:r>
      <w:r w:rsidR="0082265A">
        <w:rPr>
          <w:rFonts w:ascii="Times New Roman" w:hAnsi="Times New Roman" w:cs="Times New Roman"/>
          <w:sz w:val="28"/>
          <w:szCs w:val="28"/>
        </w:rPr>
        <w:lastRenderedPageBreak/>
        <w:t xml:space="preserve">раньше середины 2022 г. </w:t>
      </w:r>
      <w:r w:rsidR="001D5CC3">
        <w:rPr>
          <w:rFonts w:ascii="Times New Roman" w:hAnsi="Times New Roman" w:cs="Times New Roman"/>
          <w:sz w:val="28"/>
          <w:szCs w:val="28"/>
        </w:rPr>
        <w:t>Поэтому</w:t>
      </w:r>
      <w:r w:rsidR="0082265A">
        <w:rPr>
          <w:rFonts w:ascii="Times New Roman" w:hAnsi="Times New Roman" w:cs="Times New Roman"/>
          <w:sz w:val="28"/>
          <w:szCs w:val="28"/>
        </w:rPr>
        <w:t xml:space="preserve"> </w:t>
      </w:r>
      <w:r w:rsidR="00B82264">
        <w:rPr>
          <w:rFonts w:ascii="Times New Roman" w:hAnsi="Times New Roman" w:cs="Times New Roman"/>
          <w:sz w:val="28"/>
          <w:szCs w:val="28"/>
        </w:rPr>
        <w:t xml:space="preserve">социально-экономические </w:t>
      </w:r>
      <w:r w:rsidR="0082265A">
        <w:rPr>
          <w:rFonts w:ascii="Times New Roman" w:hAnsi="Times New Roman" w:cs="Times New Roman"/>
          <w:sz w:val="28"/>
          <w:szCs w:val="28"/>
        </w:rPr>
        <w:t xml:space="preserve">показатели 2019 г. смогут быть достигнуты в России </w:t>
      </w:r>
      <w:r w:rsidR="00B82264">
        <w:rPr>
          <w:rFonts w:ascii="Times New Roman" w:hAnsi="Times New Roman" w:cs="Times New Roman"/>
          <w:sz w:val="28"/>
          <w:szCs w:val="28"/>
        </w:rPr>
        <w:t xml:space="preserve">лишь в 2023 г. Объемы </w:t>
      </w:r>
      <w:r w:rsidR="0082265A">
        <w:rPr>
          <w:rFonts w:ascii="Times New Roman" w:hAnsi="Times New Roman" w:cs="Times New Roman"/>
          <w:sz w:val="28"/>
          <w:szCs w:val="28"/>
        </w:rPr>
        <w:t>инвестиций</w:t>
      </w:r>
      <w:r w:rsidR="00B82264">
        <w:rPr>
          <w:rFonts w:ascii="Times New Roman" w:hAnsi="Times New Roman" w:cs="Times New Roman"/>
          <w:sz w:val="28"/>
          <w:szCs w:val="28"/>
        </w:rPr>
        <w:t xml:space="preserve"> в основной капитал</w:t>
      </w:r>
      <w:r w:rsidR="0082265A">
        <w:rPr>
          <w:rFonts w:ascii="Times New Roman" w:hAnsi="Times New Roman" w:cs="Times New Roman"/>
          <w:sz w:val="28"/>
          <w:szCs w:val="28"/>
        </w:rPr>
        <w:t xml:space="preserve">, розничного товарооборота, реальных доходов населения и потребления, </w:t>
      </w:r>
      <w:r w:rsidR="00B82264">
        <w:rPr>
          <w:rFonts w:ascii="Times New Roman" w:hAnsi="Times New Roman" w:cs="Times New Roman"/>
          <w:sz w:val="28"/>
          <w:szCs w:val="28"/>
        </w:rPr>
        <w:t>максимальный уровень которых был достигнут в 2012-2013 г., мы сможем превзойти в лучшем случае в 2024-2025</w:t>
      </w:r>
      <w:r w:rsidR="0082265A">
        <w:rPr>
          <w:rFonts w:ascii="Times New Roman" w:hAnsi="Times New Roman" w:cs="Times New Roman"/>
          <w:sz w:val="28"/>
          <w:szCs w:val="28"/>
        </w:rPr>
        <w:t xml:space="preserve"> </w:t>
      </w:r>
      <w:r w:rsidR="00B82264">
        <w:rPr>
          <w:rFonts w:ascii="Times New Roman" w:hAnsi="Times New Roman" w:cs="Times New Roman"/>
          <w:sz w:val="28"/>
          <w:szCs w:val="28"/>
        </w:rPr>
        <w:t>г</w:t>
      </w:r>
      <w:r w:rsidR="0082265A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4FBB1" w14:textId="6E789C9B" w:rsidR="0082265A" w:rsidRDefault="0082265A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принятый недавно антикризисный план объемом в 6,5 млрд руб. становится </w:t>
      </w:r>
      <w:r w:rsidR="00315A55">
        <w:rPr>
          <w:rFonts w:ascii="Times New Roman" w:hAnsi="Times New Roman" w:cs="Times New Roman"/>
          <w:sz w:val="28"/>
          <w:szCs w:val="28"/>
        </w:rPr>
        <w:t xml:space="preserve">недостаточным из-за новых условий и, вероятно, </w:t>
      </w:r>
      <w:r>
        <w:rPr>
          <w:rFonts w:ascii="Times New Roman" w:hAnsi="Times New Roman" w:cs="Times New Roman"/>
          <w:sz w:val="28"/>
          <w:szCs w:val="28"/>
        </w:rPr>
        <w:t>должен быть коренным образом пересмотрен с</w:t>
      </w:r>
      <w:r w:rsidR="00315A55">
        <w:rPr>
          <w:rFonts w:ascii="Times New Roman" w:hAnsi="Times New Roman" w:cs="Times New Roman"/>
          <w:sz w:val="28"/>
          <w:szCs w:val="28"/>
        </w:rPr>
        <w:t>о значительным</w:t>
      </w:r>
      <w:r>
        <w:rPr>
          <w:rFonts w:ascii="Times New Roman" w:hAnsi="Times New Roman" w:cs="Times New Roman"/>
          <w:sz w:val="28"/>
          <w:szCs w:val="28"/>
        </w:rPr>
        <w:t xml:space="preserve"> увеличением его финансового обеспечения. Одновременно нужно скорректировать и </w:t>
      </w:r>
      <w:r w:rsidR="0006723E">
        <w:rPr>
          <w:rFonts w:ascii="Times New Roman" w:hAnsi="Times New Roman" w:cs="Times New Roman"/>
          <w:sz w:val="28"/>
          <w:szCs w:val="28"/>
        </w:rPr>
        <w:t>улучшить подготовленные ранее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проекты, </w:t>
      </w:r>
      <w:r w:rsidR="0006723E">
        <w:rPr>
          <w:rFonts w:ascii="Times New Roman" w:hAnsi="Times New Roman" w:cs="Times New Roman"/>
          <w:sz w:val="28"/>
          <w:szCs w:val="28"/>
        </w:rPr>
        <w:t xml:space="preserve">дополнив их новыми проектами. Планировалось </w:t>
      </w:r>
      <w:r>
        <w:rPr>
          <w:rFonts w:ascii="Times New Roman" w:hAnsi="Times New Roman" w:cs="Times New Roman"/>
          <w:sz w:val="28"/>
          <w:szCs w:val="28"/>
        </w:rPr>
        <w:t xml:space="preserve">завершить </w:t>
      </w:r>
      <w:r w:rsidR="0006723E">
        <w:rPr>
          <w:rFonts w:ascii="Times New Roman" w:hAnsi="Times New Roman" w:cs="Times New Roman"/>
          <w:sz w:val="28"/>
          <w:szCs w:val="28"/>
        </w:rPr>
        <w:t xml:space="preserve">эту работу </w:t>
      </w:r>
      <w:r>
        <w:rPr>
          <w:rFonts w:ascii="Times New Roman" w:hAnsi="Times New Roman" w:cs="Times New Roman"/>
          <w:sz w:val="28"/>
          <w:szCs w:val="28"/>
        </w:rPr>
        <w:t xml:space="preserve">к концу октября, </w:t>
      </w:r>
      <w:r w:rsidR="00315A55">
        <w:rPr>
          <w:rFonts w:ascii="Times New Roman" w:hAnsi="Times New Roman" w:cs="Times New Roman"/>
          <w:sz w:val="28"/>
          <w:szCs w:val="28"/>
        </w:rPr>
        <w:t>но это вряд ли возможно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B8839A" w14:textId="77777777" w:rsidR="00E63027" w:rsidRDefault="00E63027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преодоления столь глубокого кризиса и возобновления роста экономики нам</w:t>
      </w:r>
      <w:r w:rsidR="00D23291">
        <w:rPr>
          <w:rFonts w:ascii="Times New Roman" w:hAnsi="Times New Roman" w:cs="Times New Roman"/>
          <w:sz w:val="28"/>
          <w:szCs w:val="28"/>
        </w:rPr>
        <w:t>, по-видимому,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291">
        <w:rPr>
          <w:rFonts w:ascii="Times New Roman" w:hAnsi="Times New Roman" w:cs="Times New Roman"/>
          <w:b/>
          <w:sz w:val="28"/>
          <w:szCs w:val="28"/>
        </w:rPr>
        <w:t>нужна новая социально-экономическая политика.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D7DAA" w14:textId="77777777" w:rsidR="000275E8" w:rsidRDefault="000275E8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AD0F9" w14:textId="77777777" w:rsidR="000275E8" w:rsidRDefault="000275E8" w:rsidP="0021104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E8">
        <w:rPr>
          <w:rFonts w:ascii="Times New Roman" w:hAnsi="Times New Roman" w:cs="Times New Roman"/>
          <w:b/>
          <w:sz w:val="28"/>
          <w:szCs w:val="28"/>
        </w:rPr>
        <w:t>Предварительны</w:t>
      </w:r>
      <w:r w:rsidR="00EF1252" w:rsidRPr="000275E8">
        <w:rPr>
          <w:rFonts w:ascii="Times New Roman" w:hAnsi="Times New Roman" w:cs="Times New Roman"/>
          <w:b/>
          <w:sz w:val="28"/>
          <w:szCs w:val="28"/>
        </w:rPr>
        <w:t>е предложени</w:t>
      </w:r>
      <w:r w:rsidRPr="000275E8">
        <w:rPr>
          <w:rFonts w:ascii="Times New Roman" w:hAnsi="Times New Roman" w:cs="Times New Roman"/>
          <w:b/>
          <w:sz w:val="28"/>
          <w:szCs w:val="28"/>
        </w:rPr>
        <w:t>я:</w:t>
      </w:r>
    </w:p>
    <w:p w14:paraId="3B57186A" w14:textId="77777777" w:rsidR="0082265A" w:rsidRPr="000275E8" w:rsidRDefault="000275E8" w:rsidP="0021104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F1252" w:rsidRPr="000275E8">
        <w:rPr>
          <w:rFonts w:ascii="Times New Roman" w:hAnsi="Times New Roman" w:cs="Times New Roman"/>
          <w:b/>
          <w:sz w:val="28"/>
          <w:szCs w:val="28"/>
        </w:rPr>
        <w:t>о доходам населения:</w:t>
      </w:r>
    </w:p>
    <w:p w14:paraId="1750697C" w14:textId="77777777" w:rsidR="00EF1252" w:rsidRDefault="00EF1252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поднять минимальную зарплату до 20-25 тыс. руб. в значительной мере за счет средств предприятий и организаций при меньших дополнительных средствах со стороны госбюджета (2020-2021 гг.);</w:t>
      </w:r>
    </w:p>
    <w:p w14:paraId="02EB7EC3" w14:textId="21378D2F" w:rsidR="00EF1252" w:rsidRDefault="00EF1252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поднять пособия по безработице с 4,5-12,1 тыс. руб. в месяц хотя бы до 15-30 тыс. руб., </w:t>
      </w:r>
      <w:r w:rsidR="002110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из расчета 60% от получаемого заработка, на что потребуется 2-3 трлн руб. в год (2020-2021 гг.);</w:t>
      </w:r>
    </w:p>
    <w:p w14:paraId="1F6AA19C" w14:textId="77777777" w:rsidR="00EF1252" w:rsidRDefault="00EF1252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поднять средний размер пенсий до 25 тыс. руб., разрешив выходить на пенсию досрочно с 55-60 лет на сниженный размер пенсий (не ниже существующих). Потребуется 4 трлн руб. в год. (2022-2023 гг.)</w:t>
      </w:r>
    </w:p>
    <w:p w14:paraId="58C69BF0" w14:textId="77777777" w:rsidR="00EF1252" w:rsidRDefault="00EF1252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провести реформу подоходного налога, освободив от налогообложения доход до 20 тыс. руб. в месяц на душу населения в семье и плавно подняв налог на заработную плату и доходы свыше 100 тыс. руб. </w:t>
      </w:r>
      <w:r w:rsidR="005E24B3">
        <w:rPr>
          <w:rFonts w:ascii="Times New Roman" w:hAnsi="Times New Roman" w:cs="Times New Roman"/>
          <w:sz w:val="28"/>
          <w:szCs w:val="28"/>
        </w:rPr>
        <w:t xml:space="preserve">с сумм, превышающих этот уровень до 20%, а при превышающих 200 тыс. руб. – 25%, свыше 300 тыс. руб. – 30%. </w:t>
      </w:r>
      <w:r w:rsidR="007B5F5D">
        <w:rPr>
          <w:rFonts w:ascii="Times New Roman" w:hAnsi="Times New Roman" w:cs="Times New Roman"/>
          <w:sz w:val="28"/>
          <w:szCs w:val="28"/>
        </w:rPr>
        <w:t>Снизить налог для производителей продукции и услуг, доступных массовому потребителю и значительно увеличить налоги для тех, чьи продукты и услуги недоступны среднему классу (жилье свыше 100 тыс. за кв. метр, сеть «Азбука вкуса» и др., дорогих бутиков, 4-5-звездочных отелей, дорогих автомобилей и многого другого);</w:t>
      </w:r>
    </w:p>
    <w:p w14:paraId="565934DB" w14:textId="77777777" w:rsidR="007B5F5D" w:rsidRDefault="007B5F5D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продлить на 3 года возврат кредитов физическим лицам, малому и среднему бизнесу, снизив при возврате процентные ставки до 8% и впредь запретив выдавать кредиты по ростовщическим ставкам, вдвое превышающим ключевую ставку Центрального банка. Осуществить эту операцию за счет банковской прибыли;</w:t>
      </w:r>
    </w:p>
    <w:p w14:paraId="374D9A43" w14:textId="09169CC4" w:rsidR="007B5F5D" w:rsidRDefault="007B5F5D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принять развернутую программу форсированного развития фермерства в стране на базе лучших подсобных хозяйств, ежегодно выделяя до 3 трлн руб. на оказание помощи с привлечением крупных беспроцентных займов со стороны банков, где государство буде</w:t>
      </w:r>
      <w:r w:rsidR="001F7726">
        <w:rPr>
          <w:rFonts w:ascii="Times New Roman" w:hAnsi="Times New Roman" w:cs="Times New Roman"/>
          <w:sz w:val="28"/>
          <w:szCs w:val="28"/>
        </w:rPr>
        <w:t>т возмещать процентную ставку. Следовало бы о</w:t>
      </w:r>
      <w:r>
        <w:rPr>
          <w:rFonts w:ascii="Times New Roman" w:hAnsi="Times New Roman" w:cs="Times New Roman"/>
          <w:sz w:val="28"/>
          <w:szCs w:val="28"/>
        </w:rPr>
        <w:t>бъединять фермерские хозяйства в промысловые кооперативы, при которых создавать небольшие предприятия</w:t>
      </w:r>
      <w:r w:rsidR="001F7726">
        <w:rPr>
          <w:rFonts w:ascii="Times New Roman" w:hAnsi="Times New Roman" w:cs="Times New Roman"/>
          <w:sz w:val="28"/>
          <w:szCs w:val="28"/>
        </w:rPr>
        <w:t xml:space="preserve"> по переработке сельскохозяйственной продукции </w:t>
      </w:r>
      <w:r w:rsidR="00FF38E8">
        <w:rPr>
          <w:rFonts w:ascii="Times New Roman" w:hAnsi="Times New Roman" w:cs="Times New Roman"/>
          <w:sz w:val="28"/>
          <w:szCs w:val="28"/>
        </w:rPr>
        <w:t>в мелких городах и селах.</w:t>
      </w:r>
      <w:r w:rsidR="000566E6">
        <w:rPr>
          <w:rFonts w:ascii="Times New Roman" w:hAnsi="Times New Roman" w:cs="Times New Roman"/>
          <w:sz w:val="28"/>
          <w:szCs w:val="28"/>
        </w:rPr>
        <w:t xml:space="preserve"> </w:t>
      </w:r>
      <w:r w:rsidR="00FF38E8">
        <w:rPr>
          <w:rFonts w:ascii="Times New Roman" w:hAnsi="Times New Roman" w:cs="Times New Roman"/>
          <w:sz w:val="28"/>
          <w:szCs w:val="28"/>
        </w:rPr>
        <w:t xml:space="preserve">Целесообразно организовать при союзе промкооперации </w:t>
      </w:r>
      <w:r w:rsidR="000275E8">
        <w:rPr>
          <w:rFonts w:ascii="Times New Roman" w:hAnsi="Times New Roman" w:cs="Times New Roman"/>
          <w:sz w:val="28"/>
          <w:szCs w:val="28"/>
        </w:rPr>
        <w:t xml:space="preserve">общероссийскую сеть </w:t>
      </w:r>
      <w:proofErr w:type="spellStart"/>
      <w:r w:rsidR="000275E8">
        <w:rPr>
          <w:rFonts w:ascii="Times New Roman" w:hAnsi="Times New Roman" w:cs="Times New Roman"/>
          <w:sz w:val="28"/>
          <w:szCs w:val="28"/>
        </w:rPr>
        <w:t>коопов</w:t>
      </w:r>
      <w:proofErr w:type="spellEnd"/>
      <w:r w:rsidR="000275E8">
        <w:rPr>
          <w:rFonts w:ascii="Times New Roman" w:hAnsi="Times New Roman" w:cs="Times New Roman"/>
          <w:sz w:val="28"/>
          <w:szCs w:val="28"/>
        </w:rPr>
        <w:t xml:space="preserve">, торгующих в основном продовольственными товарами. Это позволит ежегодно </w:t>
      </w:r>
      <w:r w:rsidR="000275E8">
        <w:rPr>
          <w:rFonts w:ascii="Times New Roman" w:hAnsi="Times New Roman" w:cs="Times New Roman"/>
          <w:sz w:val="28"/>
          <w:szCs w:val="28"/>
        </w:rPr>
        <w:lastRenderedPageBreak/>
        <w:t xml:space="preserve">поднимать доходы наиболее многочисленной группы бедного населения, сосредоточенной в селах и мелких городах. </w:t>
      </w:r>
    </w:p>
    <w:p w14:paraId="3723DAFA" w14:textId="77777777" w:rsidR="000275E8" w:rsidRDefault="00E63027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этих мероприятий в ближайшие годы может быть осуществлено из фонда народного благосостояния, объем которого более 13 трлн руб. Этот фонд следовало бы использовать только по его прямому назначению.</w:t>
      </w:r>
    </w:p>
    <w:p w14:paraId="75946C1A" w14:textId="77777777" w:rsidR="00E63027" w:rsidRDefault="00E63027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425FE" w14:textId="77777777" w:rsidR="000275E8" w:rsidRDefault="000275E8" w:rsidP="0021104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5E8">
        <w:rPr>
          <w:rFonts w:ascii="Times New Roman" w:hAnsi="Times New Roman" w:cs="Times New Roman"/>
          <w:b/>
          <w:sz w:val="28"/>
          <w:szCs w:val="28"/>
        </w:rPr>
        <w:t>По восстановлению экономики и переходу к социально-экономическому росту:</w:t>
      </w:r>
    </w:p>
    <w:p w14:paraId="6C32678C" w14:textId="0B45A5C6" w:rsidR="009A4CA0" w:rsidRDefault="000275E8" w:rsidP="001D59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FD0">
        <w:rPr>
          <w:rFonts w:ascii="Times New Roman" w:hAnsi="Times New Roman" w:cs="Times New Roman"/>
          <w:sz w:val="28"/>
          <w:szCs w:val="28"/>
        </w:rPr>
        <w:t>-</w:t>
      </w:r>
      <w:r w:rsidR="0021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перейти с 2021-2022 г. к форсированному росту инвестиций в основной капитал и вложениям в человеческий капитал (в "экономику знаний") по 10-15% </w:t>
      </w:r>
      <w:r w:rsidRPr="007D158B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158B">
        <w:rPr>
          <w:rFonts w:ascii="Times New Roman" w:hAnsi="Times New Roman" w:cs="Times New Roman"/>
          <w:sz w:val="28"/>
          <w:szCs w:val="28"/>
        </w:rPr>
        <w:t xml:space="preserve">При форсированном увеличении инвестиций в основной капитал и вложений в человеческий капитал (сферу "экономики знаний") их доля в ВВП возрастет с 20 и 14 процентов до 25% к 2025 г. и до 30% к 2030 г. </w:t>
      </w:r>
      <w:r>
        <w:rPr>
          <w:rFonts w:ascii="Times New Roman" w:hAnsi="Times New Roman" w:cs="Times New Roman"/>
          <w:sz w:val="28"/>
          <w:szCs w:val="28"/>
        </w:rPr>
        <w:t xml:space="preserve">Это потребует на среднесрочную перспективу 4-5 трлн руб. в год, 2/3 которых могли бы составлять долговременные низкопроцентные инвестиционные кредиты российских банков. Их объем – 8% всех инвестиций в сравнении с 30-50% у развитых стран и с 20-30% </w:t>
      </w:r>
      <w:r w:rsidR="0021104E">
        <w:rPr>
          <w:rFonts w:ascii="Times New Roman" w:hAnsi="Times New Roman" w:cs="Times New Roman"/>
          <w:sz w:val="28"/>
          <w:szCs w:val="28"/>
        </w:rPr>
        <w:t>–</w:t>
      </w:r>
      <w:r w:rsidR="0021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Китая и развивающихся стран. Предстоит  </w:t>
      </w:r>
      <w:r w:rsidR="00C6495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ближайшие годы объем этих кредитов увеличить как минимум втрое. На эти цели следовало бы</w:t>
      </w:r>
      <w:r w:rsidR="00FF38E8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направить 150 млрд долларов из золотовалютных резервов, заимствуя из них по 20-30 млрд ежегодно с окупаемостью в 5-10 лет. </w:t>
      </w:r>
      <w:r w:rsidR="005B0A93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эти средства</w:t>
      </w:r>
      <w:r w:rsidR="001D5953">
        <w:rPr>
          <w:rFonts w:ascii="Times New Roman" w:hAnsi="Times New Roman" w:cs="Times New Roman"/>
          <w:sz w:val="28"/>
          <w:szCs w:val="28"/>
        </w:rPr>
        <w:t xml:space="preserve"> следовало бы</w:t>
      </w:r>
      <w:r w:rsidR="0021104E">
        <w:rPr>
          <w:rFonts w:ascii="Times New Roman" w:hAnsi="Times New Roman" w:cs="Times New Roman"/>
          <w:sz w:val="28"/>
          <w:szCs w:val="28"/>
        </w:rPr>
        <w:t>,</w:t>
      </w:r>
      <w:r w:rsidR="001D5953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2110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массовое техническое перевооружение действующего произв</w:t>
      </w:r>
      <w:r w:rsidR="008A1FD0">
        <w:rPr>
          <w:rFonts w:ascii="Times New Roman" w:hAnsi="Times New Roman" w:cs="Times New Roman"/>
          <w:sz w:val="28"/>
          <w:szCs w:val="28"/>
        </w:rPr>
        <w:t xml:space="preserve">одства, где окупаемость 5-7 лет, и можно обойтись инвестиционным кредитом при ставке не более 5%. Другое направление – создание новых мощностей в высокотехнологических производствах с окупаемостью 10-12 лет и </w:t>
      </w:r>
      <w:r w:rsidR="008A1FD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предоставлением кредита по ставке не более 4%. </w:t>
      </w:r>
      <w:r w:rsidR="009A4CA0">
        <w:rPr>
          <w:rFonts w:ascii="Times New Roman" w:hAnsi="Times New Roman" w:cs="Times New Roman"/>
          <w:sz w:val="28"/>
          <w:szCs w:val="28"/>
        </w:rPr>
        <w:t>Надо п</w:t>
      </w:r>
      <w:r w:rsidR="007D158B">
        <w:rPr>
          <w:rFonts w:ascii="Times New Roman" w:hAnsi="Times New Roman" w:cs="Times New Roman"/>
          <w:sz w:val="28"/>
          <w:szCs w:val="28"/>
        </w:rPr>
        <w:t xml:space="preserve">оставить задачу к 2030 г. обеспечить технологический уровень действующего производства, сопоставимый с уровнем развитых стран, вчетверо увеличить объем высокопроизводительных производств до уровня развитых стран. </w:t>
      </w:r>
      <w:r w:rsidR="008A1FD0">
        <w:rPr>
          <w:rFonts w:ascii="Times New Roman" w:hAnsi="Times New Roman" w:cs="Times New Roman"/>
          <w:sz w:val="28"/>
          <w:szCs w:val="28"/>
        </w:rPr>
        <w:t xml:space="preserve">Третье направление – формирование новой транспортно-логистической инфраструктуры с окупаемостью 20-25 лет с предоставлением долговременных </w:t>
      </w:r>
      <w:r w:rsidR="009A4CA0">
        <w:rPr>
          <w:rFonts w:ascii="Times New Roman" w:hAnsi="Times New Roman" w:cs="Times New Roman"/>
          <w:sz w:val="28"/>
          <w:szCs w:val="28"/>
        </w:rPr>
        <w:t>кредитов по ставке не более 3%.</w:t>
      </w:r>
    </w:p>
    <w:p w14:paraId="64BB63BD" w14:textId="77777777" w:rsidR="000275E8" w:rsidRDefault="00F93E8C" w:rsidP="001D59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мобилизовать низкопроцентные кредиты, можно было бы уже в этом году снизить ключевую ставку ЦБ до 4%, а</w:t>
      </w:r>
      <w:r w:rsidR="00511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2021 г. </w:t>
      </w:r>
      <w:r w:rsidR="00511C40">
        <w:rPr>
          <w:rFonts w:ascii="Times New Roman" w:hAnsi="Times New Roman" w:cs="Times New Roman"/>
          <w:sz w:val="28"/>
          <w:szCs w:val="28"/>
        </w:rPr>
        <w:t>до 3% совместными усилиями ЦБ и правительства. В необходимых случаях целесообразно за счет бюджетных средств компенсировать банкам часть ставки. До 5 трлн руб. можно высвободить бюджетных средств за счет перевода окупаемых проектов в консолидированном бюджете прежде всего по статье «национальная экономика», переведя их финансирование от безвозвратных средств на низкопроцентные инвестиционные кредиты;</w:t>
      </w:r>
    </w:p>
    <w:p w14:paraId="03EE297F" w14:textId="77777777" w:rsidR="007D158B" w:rsidRPr="000275E8" w:rsidRDefault="007D158B" w:rsidP="001D59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1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дополнительными драйверами роста должен стать подъем жилищного строительства с достижением ввода 120 млн кв. метров в 2026-2027 гг. </w:t>
      </w:r>
      <w:r w:rsidR="00ED2B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200 млн кв. метров к 2030 г. При этом доля инвестиций в жилищное строительство не должна быть ниже, чем у развитых стран (20-25% всех инвестиций в сравнении с 15-20</w:t>
      </w:r>
      <w:r w:rsidR="00CA6CB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A6CB4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). Важным дополнительным драйвером является развитие внешнеэкономической деятельности. Предстоит коренным образом изменить структуру внешней торговли, прежде всего экспорта, сделав ставку на экспорт готовой продукции и товаров и услуг высокопроизводительных отраслей, прежде всего по линии информационных технологий и глубокой переработке имеющегося в России сырья, дефицитного в</w:t>
      </w:r>
      <w:r w:rsidR="00CA6CB4">
        <w:rPr>
          <w:rFonts w:ascii="Times New Roman" w:hAnsi="Times New Roman" w:cs="Times New Roman"/>
          <w:sz w:val="28"/>
          <w:szCs w:val="28"/>
        </w:rPr>
        <w:t xml:space="preserve"> большинстве других стран мира;</w:t>
      </w:r>
    </w:p>
    <w:p w14:paraId="62BAACD3" w14:textId="77777777" w:rsidR="00D52B75" w:rsidRDefault="008A1FD0" w:rsidP="00D52B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11C40">
        <w:rPr>
          <w:rFonts w:ascii="Times New Roman" w:hAnsi="Times New Roman" w:cs="Times New Roman"/>
          <w:sz w:val="28"/>
          <w:szCs w:val="28"/>
        </w:rPr>
        <w:t xml:space="preserve"> </w:t>
      </w:r>
      <w:r w:rsidR="00D52B75">
        <w:rPr>
          <w:rFonts w:ascii="Times New Roman" w:hAnsi="Times New Roman" w:cs="Times New Roman"/>
          <w:sz w:val="28"/>
          <w:szCs w:val="28"/>
        </w:rPr>
        <w:t xml:space="preserve">максимально </w:t>
      </w:r>
      <w:r w:rsidR="00511C40">
        <w:rPr>
          <w:rFonts w:ascii="Times New Roman" w:hAnsi="Times New Roman" w:cs="Times New Roman"/>
          <w:sz w:val="28"/>
          <w:szCs w:val="28"/>
        </w:rPr>
        <w:t xml:space="preserve">привлечь </w:t>
      </w:r>
      <w:r w:rsidR="00D52B75">
        <w:rPr>
          <w:rFonts w:ascii="Times New Roman" w:hAnsi="Times New Roman" w:cs="Times New Roman"/>
          <w:sz w:val="28"/>
          <w:szCs w:val="28"/>
        </w:rPr>
        <w:t xml:space="preserve">к инвестированию в основной капитал для подъема экономики </w:t>
      </w:r>
      <w:r w:rsidR="00511C40">
        <w:rPr>
          <w:rFonts w:ascii="Times New Roman" w:hAnsi="Times New Roman" w:cs="Times New Roman"/>
          <w:sz w:val="28"/>
          <w:szCs w:val="28"/>
        </w:rPr>
        <w:t>частный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511C40">
        <w:rPr>
          <w:rFonts w:ascii="Times New Roman" w:hAnsi="Times New Roman" w:cs="Times New Roman"/>
          <w:sz w:val="28"/>
          <w:szCs w:val="28"/>
        </w:rPr>
        <w:t>изнес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52B75">
        <w:rPr>
          <w:rFonts w:ascii="Times New Roman" w:hAnsi="Times New Roman" w:cs="Times New Roman"/>
          <w:sz w:val="28"/>
          <w:szCs w:val="28"/>
        </w:rPr>
        <w:t>на долю которого приходится</w:t>
      </w:r>
      <w:r>
        <w:rPr>
          <w:rFonts w:ascii="Times New Roman" w:hAnsi="Times New Roman" w:cs="Times New Roman"/>
          <w:sz w:val="28"/>
          <w:szCs w:val="28"/>
        </w:rPr>
        <w:t xml:space="preserve"> 60% всех инвестиций</w:t>
      </w:r>
      <w:r w:rsidR="00870342">
        <w:rPr>
          <w:rFonts w:ascii="Times New Roman" w:hAnsi="Times New Roman" w:cs="Times New Roman"/>
          <w:sz w:val="28"/>
          <w:szCs w:val="28"/>
        </w:rPr>
        <w:t xml:space="preserve">. Следовало бы освободить от налогообложения ту часть прибыли, которая идет на инвестиции, что даст 1 трлн руб. По примеру «рейганомики» целесообразно амортизационные сроки сократить в 1,5-2 раза, что даст из увеличенного амортизационного фонда ещё 1 трлн руб. инвестиций. На период технологического перевооружения и ввода новых мощностей давать налоговую паузу, снижать таможенные пошлины, оказывать административную помощь предприятиям. При участии частного бизнеса в национальных проектах федеральные или региональные власти должны гарантировать банкам возврат инвестиций, предоставляя их по </w:t>
      </w:r>
      <w:r w:rsidR="00D52B75">
        <w:rPr>
          <w:rFonts w:ascii="Times New Roman" w:hAnsi="Times New Roman" w:cs="Times New Roman"/>
          <w:sz w:val="28"/>
          <w:szCs w:val="28"/>
        </w:rPr>
        <w:t xml:space="preserve">самым низким процентным ставкам. Целесообразно также серьезно развить систему государственно-частного партнерства. </w:t>
      </w:r>
    </w:p>
    <w:p w14:paraId="2E8503A1" w14:textId="6D9826F2" w:rsidR="00870342" w:rsidRDefault="00870342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сформировать новые национальные проекты по технологическому перевооружению базовых отраслей народного хозяйства</w:t>
      </w:r>
      <w:r w:rsidR="00D52B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сокращению бедности и социального неравенства, по форсированному подъему инвестиций в основной капитал и вложений в человеческий капитал (в "экономику знаний").</w:t>
      </w:r>
      <w:r w:rsidR="00D52B75">
        <w:rPr>
          <w:rFonts w:ascii="Times New Roman" w:hAnsi="Times New Roman" w:cs="Times New Roman"/>
          <w:sz w:val="28"/>
          <w:szCs w:val="28"/>
        </w:rPr>
        <w:t xml:space="preserve"> Необходимо д</w:t>
      </w:r>
      <w:r>
        <w:rPr>
          <w:rFonts w:ascii="Times New Roman" w:hAnsi="Times New Roman" w:cs="Times New Roman"/>
          <w:sz w:val="28"/>
          <w:szCs w:val="28"/>
        </w:rPr>
        <w:t xml:space="preserve">оработать все национальные программы, удвоив и утроив их финансирование прежде всего за счет привлечения частных инвестиций и низкопроцентных банковских кредитов. </w:t>
      </w:r>
      <w:r w:rsidR="00D52B75">
        <w:rPr>
          <w:rFonts w:ascii="Times New Roman" w:hAnsi="Times New Roman" w:cs="Times New Roman"/>
          <w:sz w:val="28"/>
          <w:szCs w:val="28"/>
        </w:rPr>
        <w:t>Важно п</w:t>
      </w:r>
      <w:r w:rsidR="00DB2453">
        <w:rPr>
          <w:rFonts w:ascii="Times New Roman" w:hAnsi="Times New Roman" w:cs="Times New Roman"/>
          <w:sz w:val="28"/>
          <w:szCs w:val="28"/>
        </w:rPr>
        <w:t xml:space="preserve">ересмотреть сроки достижения социально-экономических показателей, предусмотренных в Указе Президента РФ от 7 мая 2018 г., не откладывая их до 2030 г., а максимально приблизив к 2025 г. </w:t>
      </w:r>
    </w:p>
    <w:p w14:paraId="3FE8FD52" w14:textId="011AF739" w:rsidR="00DB2453" w:rsidRDefault="00DB2453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04E">
        <w:rPr>
          <w:rFonts w:ascii="Times New Roman" w:hAnsi="Times New Roman" w:cs="Times New Roman"/>
          <w:sz w:val="28"/>
          <w:szCs w:val="28"/>
        </w:rPr>
        <w:t xml:space="preserve"> </w:t>
      </w:r>
      <w:r w:rsidR="00D52B75">
        <w:rPr>
          <w:rFonts w:ascii="Times New Roman" w:hAnsi="Times New Roman" w:cs="Times New Roman"/>
          <w:sz w:val="28"/>
          <w:szCs w:val="28"/>
        </w:rPr>
        <w:t>свести все национальны</w:t>
      </w:r>
      <w:r w:rsidR="00F44ECA">
        <w:rPr>
          <w:rFonts w:ascii="Times New Roman" w:hAnsi="Times New Roman" w:cs="Times New Roman"/>
          <w:sz w:val="28"/>
          <w:szCs w:val="28"/>
        </w:rPr>
        <w:t>е проекты в систему, включив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B75">
        <w:rPr>
          <w:rFonts w:ascii="Times New Roman" w:hAnsi="Times New Roman" w:cs="Times New Roman"/>
          <w:sz w:val="28"/>
          <w:szCs w:val="28"/>
        </w:rPr>
        <w:t>в народнохозяйственный план</w:t>
      </w:r>
      <w:r w:rsidR="005C2631">
        <w:rPr>
          <w:rFonts w:ascii="Times New Roman" w:hAnsi="Times New Roman" w:cs="Times New Roman"/>
          <w:sz w:val="28"/>
          <w:szCs w:val="28"/>
        </w:rPr>
        <w:t xml:space="preserve">, </w:t>
      </w:r>
      <w:r w:rsidR="005C2631" w:rsidRPr="00F44ECA">
        <w:rPr>
          <w:rFonts w:ascii="Times New Roman" w:hAnsi="Times New Roman" w:cs="Times New Roman"/>
          <w:b/>
          <w:sz w:val="28"/>
          <w:szCs w:val="28"/>
        </w:rPr>
        <w:t>разработать</w:t>
      </w:r>
      <w:r w:rsidRPr="00F44ECA">
        <w:rPr>
          <w:rFonts w:ascii="Times New Roman" w:hAnsi="Times New Roman" w:cs="Times New Roman"/>
          <w:b/>
          <w:sz w:val="28"/>
          <w:szCs w:val="28"/>
        </w:rPr>
        <w:t xml:space="preserve"> первый пятилетний план на 2021-2025 гг. с ключевыми показателями до 2030 г.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предприятий и организаций, контролируемых государством, ввести директивное планирование по основным показателям, а для частного сектора – индикативные показатели, добиваясь их выполнения путем предоставления частному бизнесу льгот и привилегий со стороны государства. В составе плана иметь единую инвестиционную программу, единый финансовый план, перейти на основе народнохозяйственного плана к новому построению государственного бюджета на всех уровнях с целевыми показателями, обеспеченными финансированием по каждой статье;</w:t>
      </w:r>
    </w:p>
    <w:p w14:paraId="684B17B7" w14:textId="028AE901" w:rsidR="00011DD6" w:rsidRDefault="00DB2453" w:rsidP="008923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F44ECA">
        <w:rPr>
          <w:rFonts w:ascii="Times New Roman" w:hAnsi="Times New Roman" w:cs="Times New Roman"/>
          <w:b/>
          <w:sz w:val="28"/>
          <w:szCs w:val="28"/>
        </w:rPr>
        <w:t>сохранности народа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246">
        <w:rPr>
          <w:rFonts w:ascii="Times New Roman" w:hAnsi="Times New Roman" w:cs="Times New Roman"/>
          <w:sz w:val="28"/>
          <w:szCs w:val="28"/>
        </w:rPr>
        <w:t>сократить размер депопуляции прежде всего за счет радикального снижения смертности, особенно для н</w:t>
      </w:r>
      <w:r w:rsidR="000F0802">
        <w:rPr>
          <w:rFonts w:ascii="Times New Roman" w:hAnsi="Times New Roman" w:cs="Times New Roman"/>
          <w:sz w:val="28"/>
          <w:szCs w:val="28"/>
        </w:rPr>
        <w:t xml:space="preserve">аселения в трудовом возрасте </w:t>
      </w:r>
      <w:r w:rsidR="00704246">
        <w:rPr>
          <w:rFonts w:ascii="Times New Roman" w:hAnsi="Times New Roman" w:cs="Times New Roman"/>
          <w:sz w:val="28"/>
          <w:szCs w:val="28"/>
        </w:rPr>
        <w:t xml:space="preserve"> из-за сердечнососудистых болезней, где смертность на 100 тыс. населения в России втрое превышает показатели развитых стран и в 1,5-2 раза – постсоциалистических стран Центральной и Восточной Европы. Увеличить пособия на детей и льготное предоставление жилья многодетным семьям, ориентируясь на финансирование этих статей в размере</w:t>
      </w:r>
      <w:r w:rsidR="007D158B">
        <w:rPr>
          <w:rFonts w:ascii="Times New Roman" w:hAnsi="Times New Roman" w:cs="Times New Roman"/>
          <w:sz w:val="28"/>
          <w:szCs w:val="28"/>
        </w:rPr>
        <w:t xml:space="preserve"> до</w:t>
      </w:r>
      <w:r w:rsidR="00704246">
        <w:rPr>
          <w:rFonts w:ascii="Times New Roman" w:hAnsi="Times New Roman" w:cs="Times New Roman"/>
          <w:sz w:val="28"/>
          <w:szCs w:val="28"/>
        </w:rPr>
        <w:t xml:space="preserve"> 2% ВВП</w:t>
      </w:r>
      <w:r w:rsidR="007D158B">
        <w:rPr>
          <w:rFonts w:ascii="Times New Roman" w:hAnsi="Times New Roman" w:cs="Times New Roman"/>
          <w:sz w:val="28"/>
          <w:szCs w:val="28"/>
        </w:rPr>
        <w:t xml:space="preserve"> (по примеру Франции)</w:t>
      </w:r>
      <w:r w:rsidR="00704246">
        <w:rPr>
          <w:rFonts w:ascii="Times New Roman" w:hAnsi="Times New Roman" w:cs="Times New Roman"/>
          <w:sz w:val="28"/>
          <w:szCs w:val="28"/>
        </w:rPr>
        <w:t xml:space="preserve">, а не десятых долей процента, как сейчас. Суммарный коэффициент рождаемости поднять с 1,5 в 2019 г. до 1,65 к 2025 г. и 1,8 к 2030 г. </w:t>
      </w:r>
      <w:r w:rsidR="008704A3">
        <w:rPr>
          <w:rFonts w:ascii="Times New Roman" w:hAnsi="Times New Roman" w:cs="Times New Roman"/>
          <w:sz w:val="28"/>
          <w:szCs w:val="28"/>
        </w:rPr>
        <w:t xml:space="preserve">Коренным образом улучшить миграционную политику, обеспечив положительное сальдо миграции в Россию ежегодно в размере не менее 200 тыс. человек. </w:t>
      </w:r>
      <w:r w:rsidR="00C7238D">
        <w:rPr>
          <w:rFonts w:ascii="Times New Roman" w:hAnsi="Times New Roman" w:cs="Times New Roman"/>
          <w:sz w:val="28"/>
          <w:szCs w:val="28"/>
        </w:rPr>
        <w:t xml:space="preserve">Принять меры для привлечения, закрепления, обучения и эффективного использования мигрантов. Переломить мнение населения о негативном воздействии мигрантов на наше социально-экономическое развитие. </w:t>
      </w:r>
    </w:p>
    <w:p w14:paraId="23D9BB06" w14:textId="26196DAF" w:rsidR="00C61FCE" w:rsidRDefault="00F44ECA" w:rsidP="008923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</w:t>
      </w:r>
      <w:r w:rsidR="002110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шаг за шагом мы сможем преодолеть демографический кризис и к 2030 г. обеспечить прирост населения страны. </w:t>
      </w:r>
      <w:r w:rsidR="00C61FCE">
        <w:rPr>
          <w:rFonts w:ascii="Times New Roman" w:hAnsi="Times New Roman" w:cs="Times New Roman"/>
          <w:sz w:val="28"/>
          <w:szCs w:val="28"/>
        </w:rPr>
        <w:t xml:space="preserve"> В  итоге: </w:t>
      </w:r>
    </w:p>
    <w:p w14:paraId="72E88C19" w14:textId="77777777" w:rsidR="00C61FCE" w:rsidRDefault="00C61FCE" w:rsidP="008923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 </w:t>
      </w:r>
      <w:r w:rsidRPr="00C61FCE">
        <w:rPr>
          <w:rFonts w:ascii="Times New Roman" w:hAnsi="Times New Roman" w:cs="Times New Roman"/>
          <w:b/>
          <w:sz w:val="28"/>
          <w:szCs w:val="28"/>
        </w:rPr>
        <w:t>2025-2026 гг.</w:t>
      </w:r>
      <w:r>
        <w:rPr>
          <w:rFonts w:ascii="Times New Roman" w:hAnsi="Times New Roman" w:cs="Times New Roman"/>
          <w:sz w:val="28"/>
          <w:szCs w:val="28"/>
        </w:rPr>
        <w:t xml:space="preserve"> Россия сможет обойти Германию по объему ВВП, оцененному по паритету покупательной способности и превзойти средний уровень новых членов ЕС – постсоциалистические страны Европы по экономическому и социальному уровню развития;</w:t>
      </w:r>
    </w:p>
    <w:p w14:paraId="5E53A0C1" w14:textId="77777777" w:rsidR="00C61FCE" w:rsidRDefault="00C61FCE" w:rsidP="008923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</w:t>
      </w:r>
      <w:r w:rsidR="00FB4A68" w:rsidRPr="00C61FCE">
        <w:rPr>
          <w:rFonts w:ascii="Times New Roman" w:hAnsi="Times New Roman" w:cs="Times New Roman"/>
          <w:b/>
          <w:sz w:val="28"/>
          <w:szCs w:val="28"/>
        </w:rPr>
        <w:t>2030-2035 гг.</w:t>
      </w:r>
      <w:r w:rsidR="00FB4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Россия</w:t>
      </w:r>
      <w:r w:rsidR="007D2608">
        <w:rPr>
          <w:rFonts w:ascii="Times New Roman" w:hAnsi="Times New Roman" w:cs="Times New Roman"/>
          <w:sz w:val="28"/>
          <w:szCs w:val="28"/>
        </w:rPr>
        <w:t xml:space="preserve"> опередит Японию по объему ВВП и 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FB4A68">
        <w:rPr>
          <w:rFonts w:ascii="Times New Roman" w:hAnsi="Times New Roman" w:cs="Times New Roman"/>
          <w:sz w:val="28"/>
          <w:szCs w:val="28"/>
        </w:rPr>
        <w:t xml:space="preserve">сравняться </w:t>
      </w:r>
      <w:r>
        <w:rPr>
          <w:rFonts w:ascii="Times New Roman" w:hAnsi="Times New Roman" w:cs="Times New Roman"/>
          <w:sz w:val="28"/>
          <w:szCs w:val="28"/>
        </w:rPr>
        <w:t>по социально-экономическому уровню с Испанией и Италией;</w:t>
      </w:r>
      <w:r w:rsidR="00FB4A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AE7C0" w14:textId="77777777" w:rsidR="007D158B" w:rsidRDefault="00C61FCE" w:rsidP="0089238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92388">
        <w:rPr>
          <w:rFonts w:ascii="Times New Roman" w:hAnsi="Times New Roman" w:cs="Times New Roman"/>
          <w:sz w:val="28"/>
          <w:szCs w:val="28"/>
        </w:rPr>
        <w:t xml:space="preserve"> </w:t>
      </w:r>
      <w:r w:rsidR="00892388" w:rsidRPr="00C61FCE">
        <w:rPr>
          <w:rFonts w:ascii="Times New Roman" w:hAnsi="Times New Roman" w:cs="Times New Roman"/>
          <w:b/>
          <w:sz w:val="28"/>
          <w:szCs w:val="28"/>
        </w:rPr>
        <w:t>2035-2040 гг.</w:t>
      </w:r>
      <w:r w:rsidR="00892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D2608">
        <w:rPr>
          <w:rFonts w:ascii="Times New Roman" w:hAnsi="Times New Roman" w:cs="Times New Roman"/>
          <w:sz w:val="28"/>
          <w:szCs w:val="28"/>
        </w:rPr>
        <w:t>о основным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экономическим и социальным показателям </w:t>
      </w:r>
      <w:r w:rsidR="00892388">
        <w:rPr>
          <w:rFonts w:ascii="Times New Roman" w:hAnsi="Times New Roman" w:cs="Times New Roman"/>
          <w:sz w:val="28"/>
          <w:szCs w:val="28"/>
        </w:rPr>
        <w:t xml:space="preserve"> </w:t>
      </w:r>
      <w:r w:rsidR="007D2608">
        <w:rPr>
          <w:rFonts w:ascii="Times New Roman" w:hAnsi="Times New Roman" w:cs="Times New Roman"/>
          <w:sz w:val="28"/>
          <w:szCs w:val="28"/>
        </w:rPr>
        <w:t>Россия, опередив Японию, подтянется к Германии</w:t>
      </w:r>
      <w:r w:rsidR="00892388">
        <w:rPr>
          <w:rFonts w:ascii="Times New Roman" w:hAnsi="Times New Roman" w:cs="Times New Roman"/>
          <w:sz w:val="28"/>
          <w:szCs w:val="28"/>
        </w:rPr>
        <w:t>.</w:t>
      </w:r>
      <w:r w:rsidR="00F44ECA" w:rsidRPr="00F44E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99035" w14:textId="77777777" w:rsidR="00F6180D" w:rsidRDefault="00D57CFA" w:rsidP="00B8399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180D" w:rsidSect="00B8399B">
      <w:footerReference w:type="default" r:id="rId7"/>
      <w:pgSz w:w="11906" w:h="16838"/>
      <w:pgMar w:top="1701" w:right="85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6E4CA" w14:textId="77777777" w:rsidR="0091567E" w:rsidRDefault="0091567E" w:rsidP="00B8399B">
      <w:pPr>
        <w:spacing w:after="0" w:line="240" w:lineRule="auto"/>
      </w:pPr>
      <w:r>
        <w:separator/>
      </w:r>
    </w:p>
  </w:endnote>
  <w:endnote w:type="continuationSeparator" w:id="0">
    <w:p w14:paraId="3CF201C1" w14:textId="77777777" w:rsidR="0091567E" w:rsidRDefault="0091567E" w:rsidP="00B8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7595973"/>
      <w:docPartObj>
        <w:docPartGallery w:val="Page Numbers (Bottom of Page)"/>
        <w:docPartUnique/>
      </w:docPartObj>
    </w:sdtPr>
    <w:sdtEndPr/>
    <w:sdtContent>
      <w:p w14:paraId="26529037" w14:textId="77777777" w:rsidR="00B8399B" w:rsidRDefault="00B839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C1F">
          <w:rPr>
            <w:noProof/>
          </w:rPr>
          <w:t>1</w:t>
        </w:r>
        <w:r>
          <w:fldChar w:fldCharType="end"/>
        </w:r>
      </w:p>
    </w:sdtContent>
  </w:sdt>
  <w:p w14:paraId="48734B0C" w14:textId="77777777" w:rsidR="00B8399B" w:rsidRDefault="00B839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D601" w14:textId="77777777" w:rsidR="0091567E" w:rsidRDefault="0091567E" w:rsidP="00B8399B">
      <w:pPr>
        <w:spacing w:after="0" w:line="240" w:lineRule="auto"/>
      </w:pPr>
      <w:r>
        <w:separator/>
      </w:r>
    </w:p>
  </w:footnote>
  <w:footnote w:type="continuationSeparator" w:id="0">
    <w:p w14:paraId="26ED9846" w14:textId="77777777" w:rsidR="0091567E" w:rsidRDefault="0091567E" w:rsidP="00B83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99B"/>
    <w:rsid w:val="00011DD6"/>
    <w:rsid w:val="000275E8"/>
    <w:rsid w:val="000566E6"/>
    <w:rsid w:val="0006723E"/>
    <w:rsid w:val="00084BCD"/>
    <w:rsid w:val="00086AA0"/>
    <w:rsid w:val="000A043F"/>
    <w:rsid w:val="000B4B8B"/>
    <w:rsid w:val="000C31C5"/>
    <w:rsid w:val="000D05EA"/>
    <w:rsid w:val="000D3424"/>
    <w:rsid w:val="000D7EA9"/>
    <w:rsid w:val="000E4D83"/>
    <w:rsid w:val="000F0802"/>
    <w:rsid w:val="000F3263"/>
    <w:rsid w:val="00110ADA"/>
    <w:rsid w:val="001113F2"/>
    <w:rsid w:val="00135C6A"/>
    <w:rsid w:val="00151790"/>
    <w:rsid w:val="00183B29"/>
    <w:rsid w:val="001A06AF"/>
    <w:rsid w:val="001A3C0D"/>
    <w:rsid w:val="001D5953"/>
    <w:rsid w:val="001D5CC3"/>
    <w:rsid w:val="001D61D8"/>
    <w:rsid w:val="001D7973"/>
    <w:rsid w:val="001D7E73"/>
    <w:rsid w:val="001F7134"/>
    <w:rsid w:val="001F7726"/>
    <w:rsid w:val="00204033"/>
    <w:rsid w:val="0021104E"/>
    <w:rsid w:val="002707FD"/>
    <w:rsid w:val="00281094"/>
    <w:rsid w:val="002830BA"/>
    <w:rsid w:val="002936F2"/>
    <w:rsid w:val="002957E4"/>
    <w:rsid w:val="002B102E"/>
    <w:rsid w:val="002C11A5"/>
    <w:rsid w:val="002D2718"/>
    <w:rsid w:val="002E3AB2"/>
    <w:rsid w:val="002F0A02"/>
    <w:rsid w:val="002F4FD3"/>
    <w:rsid w:val="00305D76"/>
    <w:rsid w:val="00312F0C"/>
    <w:rsid w:val="00313CC2"/>
    <w:rsid w:val="00315A55"/>
    <w:rsid w:val="0031780F"/>
    <w:rsid w:val="00336F19"/>
    <w:rsid w:val="00366B26"/>
    <w:rsid w:val="00375886"/>
    <w:rsid w:val="00377E39"/>
    <w:rsid w:val="003807D0"/>
    <w:rsid w:val="003824C9"/>
    <w:rsid w:val="00392704"/>
    <w:rsid w:val="003960FB"/>
    <w:rsid w:val="00396FF9"/>
    <w:rsid w:val="003C6AAE"/>
    <w:rsid w:val="003C7396"/>
    <w:rsid w:val="003E1138"/>
    <w:rsid w:val="003F5018"/>
    <w:rsid w:val="003F725D"/>
    <w:rsid w:val="004010C4"/>
    <w:rsid w:val="0042339C"/>
    <w:rsid w:val="00445E4E"/>
    <w:rsid w:val="00447CA1"/>
    <w:rsid w:val="00463052"/>
    <w:rsid w:val="004675B4"/>
    <w:rsid w:val="00473C26"/>
    <w:rsid w:val="004756AD"/>
    <w:rsid w:val="00476E7E"/>
    <w:rsid w:val="00480381"/>
    <w:rsid w:val="00481260"/>
    <w:rsid w:val="004834A9"/>
    <w:rsid w:val="004874E6"/>
    <w:rsid w:val="004B35C4"/>
    <w:rsid w:val="004B56DF"/>
    <w:rsid w:val="004C3178"/>
    <w:rsid w:val="004C6993"/>
    <w:rsid w:val="004E6420"/>
    <w:rsid w:val="004F3AC3"/>
    <w:rsid w:val="004F4F9A"/>
    <w:rsid w:val="00506403"/>
    <w:rsid w:val="00511C40"/>
    <w:rsid w:val="005365B3"/>
    <w:rsid w:val="00540AD2"/>
    <w:rsid w:val="00545044"/>
    <w:rsid w:val="00567822"/>
    <w:rsid w:val="00575FC0"/>
    <w:rsid w:val="005A243A"/>
    <w:rsid w:val="005A7A17"/>
    <w:rsid w:val="005B0A93"/>
    <w:rsid w:val="005C2631"/>
    <w:rsid w:val="005C6FCE"/>
    <w:rsid w:val="005D011D"/>
    <w:rsid w:val="005E00A6"/>
    <w:rsid w:val="005E24B3"/>
    <w:rsid w:val="005E491F"/>
    <w:rsid w:val="005F174A"/>
    <w:rsid w:val="005F4F2C"/>
    <w:rsid w:val="00611C1F"/>
    <w:rsid w:val="00662667"/>
    <w:rsid w:val="00667A48"/>
    <w:rsid w:val="006707E2"/>
    <w:rsid w:val="006735D2"/>
    <w:rsid w:val="00686D09"/>
    <w:rsid w:val="00693D48"/>
    <w:rsid w:val="00694560"/>
    <w:rsid w:val="006A3B6B"/>
    <w:rsid w:val="006A5839"/>
    <w:rsid w:val="006C0B03"/>
    <w:rsid w:val="006C3C26"/>
    <w:rsid w:val="006C40EC"/>
    <w:rsid w:val="006E1D81"/>
    <w:rsid w:val="006E7167"/>
    <w:rsid w:val="006F032A"/>
    <w:rsid w:val="006F3512"/>
    <w:rsid w:val="00704246"/>
    <w:rsid w:val="00710FD4"/>
    <w:rsid w:val="00720FA4"/>
    <w:rsid w:val="00752BFC"/>
    <w:rsid w:val="0075521C"/>
    <w:rsid w:val="00757E98"/>
    <w:rsid w:val="00760CA9"/>
    <w:rsid w:val="00766B24"/>
    <w:rsid w:val="00775E84"/>
    <w:rsid w:val="00777E7E"/>
    <w:rsid w:val="007B5F5D"/>
    <w:rsid w:val="007C3631"/>
    <w:rsid w:val="007C3E5E"/>
    <w:rsid w:val="007C7294"/>
    <w:rsid w:val="007D05CB"/>
    <w:rsid w:val="007D1573"/>
    <w:rsid w:val="007D158B"/>
    <w:rsid w:val="007D2608"/>
    <w:rsid w:val="007D7396"/>
    <w:rsid w:val="007F2DA9"/>
    <w:rsid w:val="00800D42"/>
    <w:rsid w:val="008209B8"/>
    <w:rsid w:val="008219E7"/>
    <w:rsid w:val="0082265A"/>
    <w:rsid w:val="00824143"/>
    <w:rsid w:val="00834BD3"/>
    <w:rsid w:val="00835DCA"/>
    <w:rsid w:val="00836C28"/>
    <w:rsid w:val="0085470C"/>
    <w:rsid w:val="00867BF7"/>
    <w:rsid w:val="00870342"/>
    <w:rsid w:val="008704A3"/>
    <w:rsid w:val="00875C79"/>
    <w:rsid w:val="00877EA3"/>
    <w:rsid w:val="00892388"/>
    <w:rsid w:val="008A1FD0"/>
    <w:rsid w:val="008C0EDD"/>
    <w:rsid w:val="008C745E"/>
    <w:rsid w:val="008E42F8"/>
    <w:rsid w:val="00904DD0"/>
    <w:rsid w:val="00907F29"/>
    <w:rsid w:val="0091567E"/>
    <w:rsid w:val="00921DEE"/>
    <w:rsid w:val="00927C23"/>
    <w:rsid w:val="0096618F"/>
    <w:rsid w:val="00981869"/>
    <w:rsid w:val="009867B4"/>
    <w:rsid w:val="009A4CA0"/>
    <w:rsid w:val="009B4757"/>
    <w:rsid w:val="009B6115"/>
    <w:rsid w:val="009C0EE2"/>
    <w:rsid w:val="009C5E86"/>
    <w:rsid w:val="009E5184"/>
    <w:rsid w:val="009F02AA"/>
    <w:rsid w:val="009F6C77"/>
    <w:rsid w:val="00A220C8"/>
    <w:rsid w:val="00A245F2"/>
    <w:rsid w:val="00A27002"/>
    <w:rsid w:val="00A325DF"/>
    <w:rsid w:val="00A32984"/>
    <w:rsid w:val="00A3595F"/>
    <w:rsid w:val="00A43B6B"/>
    <w:rsid w:val="00A46EC9"/>
    <w:rsid w:val="00A535D7"/>
    <w:rsid w:val="00A54C83"/>
    <w:rsid w:val="00A638CE"/>
    <w:rsid w:val="00A87547"/>
    <w:rsid w:val="00A9162A"/>
    <w:rsid w:val="00AC24EB"/>
    <w:rsid w:val="00B0457B"/>
    <w:rsid w:val="00B234C3"/>
    <w:rsid w:val="00B3048F"/>
    <w:rsid w:val="00B333F5"/>
    <w:rsid w:val="00B44650"/>
    <w:rsid w:val="00B467EE"/>
    <w:rsid w:val="00B52A38"/>
    <w:rsid w:val="00B55988"/>
    <w:rsid w:val="00B654E2"/>
    <w:rsid w:val="00B809C1"/>
    <w:rsid w:val="00B80B50"/>
    <w:rsid w:val="00B82264"/>
    <w:rsid w:val="00B82D79"/>
    <w:rsid w:val="00B8399B"/>
    <w:rsid w:val="00B84ACA"/>
    <w:rsid w:val="00B9254C"/>
    <w:rsid w:val="00B94335"/>
    <w:rsid w:val="00BB57CD"/>
    <w:rsid w:val="00BC7726"/>
    <w:rsid w:val="00BD1627"/>
    <w:rsid w:val="00BD623E"/>
    <w:rsid w:val="00BE6E2D"/>
    <w:rsid w:val="00C0365B"/>
    <w:rsid w:val="00C038AD"/>
    <w:rsid w:val="00C0499B"/>
    <w:rsid w:val="00C30FF1"/>
    <w:rsid w:val="00C336BE"/>
    <w:rsid w:val="00C4214B"/>
    <w:rsid w:val="00C502F9"/>
    <w:rsid w:val="00C5208C"/>
    <w:rsid w:val="00C61FCE"/>
    <w:rsid w:val="00C64959"/>
    <w:rsid w:val="00C65BDE"/>
    <w:rsid w:val="00C722A9"/>
    <w:rsid w:val="00C7238D"/>
    <w:rsid w:val="00C73DFE"/>
    <w:rsid w:val="00CA6CB4"/>
    <w:rsid w:val="00CA7D08"/>
    <w:rsid w:val="00CB03C5"/>
    <w:rsid w:val="00CB050E"/>
    <w:rsid w:val="00CB155E"/>
    <w:rsid w:val="00CB3251"/>
    <w:rsid w:val="00CB36D6"/>
    <w:rsid w:val="00CB4BD3"/>
    <w:rsid w:val="00CC2F4A"/>
    <w:rsid w:val="00CC662A"/>
    <w:rsid w:val="00CD1694"/>
    <w:rsid w:val="00CE61C5"/>
    <w:rsid w:val="00CE72EF"/>
    <w:rsid w:val="00CF5AD0"/>
    <w:rsid w:val="00D23291"/>
    <w:rsid w:val="00D36E75"/>
    <w:rsid w:val="00D52B75"/>
    <w:rsid w:val="00D57CFA"/>
    <w:rsid w:val="00D75E33"/>
    <w:rsid w:val="00D85092"/>
    <w:rsid w:val="00DB2453"/>
    <w:rsid w:val="00DC0B48"/>
    <w:rsid w:val="00DC6D3E"/>
    <w:rsid w:val="00DD1AF8"/>
    <w:rsid w:val="00DE715A"/>
    <w:rsid w:val="00DF77F4"/>
    <w:rsid w:val="00E00919"/>
    <w:rsid w:val="00E03721"/>
    <w:rsid w:val="00E037C7"/>
    <w:rsid w:val="00E423D5"/>
    <w:rsid w:val="00E51A5B"/>
    <w:rsid w:val="00E63027"/>
    <w:rsid w:val="00E73A7D"/>
    <w:rsid w:val="00E77A81"/>
    <w:rsid w:val="00E873FA"/>
    <w:rsid w:val="00E91969"/>
    <w:rsid w:val="00EA687C"/>
    <w:rsid w:val="00EB10CC"/>
    <w:rsid w:val="00EB2C7C"/>
    <w:rsid w:val="00EB4338"/>
    <w:rsid w:val="00EC075C"/>
    <w:rsid w:val="00ED2B89"/>
    <w:rsid w:val="00ED4408"/>
    <w:rsid w:val="00EF1252"/>
    <w:rsid w:val="00F066B5"/>
    <w:rsid w:val="00F148B1"/>
    <w:rsid w:val="00F1629C"/>
    <w:rsid w:val="00F264D9"/>
    <w:rsid w:val="00F265CB"/>
    <w:rsid w:val="00F27C0D"/>
    <w:rsid w:val="00F34298"/>
    <w:rsid w:val="00F44ECA"/>
    <w:rsid w:val="00F6116C"/>
    <w:rsid w:val="00F6180D"/>
    <w:rsid w:val="00F93E8C"/>
    <w:rsid w:val="00FA233E"/>
    <w:rsid w:val="00FB0A70"/>
    <w:rsid w:val="00FB1046"/>
    <w:rsid w:val="00FB2DBA"/>
    <w:rsid w:val="00FB4A68"/>
    <w:rsid w:val="00FB536F"/>
    <w:rsid w:val="00FB6F80"/>
    <w:rsid w:val="00FD5645"/>
    <w:rsid w:val="00FE34E2"/>
    <w:rsid w:val="00FF24D7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8173"/>
  <w15:docId w15:val="{61A785CB-9175-419F-90D0-DF05C9DD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99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99B"/>
  </w:style>
  <w:style w:type="paragraph" w:styleId="a6">
    <w:name w:val="footer"/>
    <w:basedOn w:val="a"/>
    <w:link w:val="a7"/>
    <w:uiPriority w:val="99"/>
    <w:unhideWhenUsed/>
    <w:rsid w:val="00B8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99B"/>
  </w:style>
  <w:style w:type="table" w:styleId="a8">
    <w:name w:val="Table Grid"/>
    <w:basedOn w:val="a1"/>
    <w:uiPriority w:val="59"/>
    <w:rsid w:val="0089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8AE73-49C9-46D1-A84D-79757A9E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Кожка</dc:creator>
  <cp:lastModifiedBy>Alexander Krotov</cp:lastModifiedBy>
  <cp:revision>4</cp:revision>
  <dcterms:created xsi:type="dcterms:W3CDTF">2020-10-19T09:35:00Z</dcterms:created>
  <dcterms:modified xsi:type="dcterms:W3CDTF">2020-10-19T09:55:00Z</dcterms:modified>
</cp:coreProperties>
</file>